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87504" w14:textId="2E30949E" w:rsidR="00E9733D" w:rsidRPr="00A01561" w:rsidRDefault="00E9733D" w:rsidP="00A01561">
      <w:pPr>
        <w:spacing w:line="420" w:lineRule="auto"/>
        <w:rPr>
          <w:rFonts w:eastAsia="Times New Roman" w:cstheme="minorHAnsi"/>
          <w:b/>
          <w:color w:val="2C363A"/>
          <w:sz w:val="22"/>
          <w:szCs w:val="21"/>
          <w:shd w:val="clear" w:color="auto" w:fill="FFFFFF"/>
          <w:lang w:eastAsia="en-GB"/>
        </w:rPr>
      </w:pPr>
      <w:r w:rsidRPr="00A01561">
        <w:rPr>
          <w:rFonts w:eastAsia="Times New Roman" w:cstheme="minorHAnsi"/>
          <w:b/>
          <w:color w:val="2C363A"/>
          <w:sz w:val="22"/>
          <w:szCs w:val="21"/>
          <w:shd w:val="clear" w:color="auto" w:fill="FFFFFF"/>
          <w:lang w:eastAsia="en-GB"/>
        </w:rPr>
        <w:t>BOA</w:t>
      </w:r>
      <w:r w:rsidR="00ED165E" w:rsidRPr="00A01561">
        <w:rPr>
          <w:rFonts w:eastAsia="Times New Roman" w:cstheme="minorHAnsi"/>
          <w:b/>
          <w:color w:val="2C363A"/>
          <w:sz w:val="22"/>
          <w:szCs w:val="21"/>
          <w:shd w:val="clear" w:color="auto" w:fill="FFFFFF"/>
          <w:lang w:eastAsia="en-GB"/>
        </w:rPr>
        <w:t xml:space="preserve"> and GIRFT</w:t>
      </w:r>
      <w:r w:rsidRPr="00A01561">
        <w:rPr>
          <w:rFonts w:eastAsia="Times New Roman" w:cstheme="minorHAnsi"/>
          <w:b/>
          <w:color w:val="2C363A"/>
          <w:sz w:val="22"/>
          <w:szCs w:val="21"/>
          <w:shd w:val="clear" w:color="auto" w:fill="FFFFFF"/>
          <w:lang w:eastAsia="en-GB"/>
        </w:rPr>
        <w:t xml:space="preserve"> statement on ‘ring fenced’ orthopaedic</w:t>
      </w:r>
      <w:r w:rsidR="00ED165E" w:rsidRPr="00A01561">
        <w:rPr>
          <w:rFonts w:eastAsia="Times New Roman" w:cstheme="minorHAnsi"/>
          <w:b/>
          <w:color w:val="2C363A"/>
          <w:sz w:val="22"/>
          <w:szCs w:val="21"/>
          <w:shd w:val="clear" w:color="auto" w:fill="FFFFFF"/>
          <w:lang w:eastAsia="en-GB"/>
        </w:rPr>
        <w:t xml:space="preserve"> bed</w:t>
      </w:r>
      <w:r w:rsidRPr="00A01561">
        <w:rPr>
          <w:rFonts w:eastAsia="Times New Roman" w:cstheme="minorHAnsi"/>
          <w:b/>
          <w:color w:val="2C363A"/>
          <w:sz w:val="22"/>
          <w:szCs w:val="21"/>
          <w:shd w:val="clear" w:color="auto" w:fill="FFFFFF"/>
          <w:lang w:eastAsia="en-GB"/>
        </w:rPr>
        <w:t>s</w:t>
      </w:r>
      <w:r w:rsidR="00ED165E" w:rsidRPr="00A01561">
        <w:rPr>
          <w:rFonts w:eastAsia="Times New Roman" w:cstheme="minorHAnsi"/>
          <w:b/>
          <w:color w:val="2C363A"/>
          <w:sz w:val="22"/>
          <w:szCs w:val="21"/>
          <w:shd w:val="clear" w:color="auto" w:fill="FFFFFF"/>
          <w:lang w:eastAsia="en-GB"/>
        </w:rPr>
        <w:t xml:space="preserve"> in the COVID-19 context</w:t>
      </w:r>
    </w:p>
    <w:p w14:paraId="23941AD0" w14:textId="77777777" w:rsidR="00E9733D" w:rsidRPr="00A01561" w:rsidRDefault="00E9733D" w:rsidP="00A01561">
      <w:pPr>
        <w:spacing w:line="420" w:lineRule="auto"/>
        <w:rPr>
          <w:rFonts w:eastAsia="Times New Roman" w:cstheme="minorHAnsi"/>
          <w:color w:val="2C363A"/>
          <w:sz w:val="22"/>
          <w:szCs w:val="21"/>
          <w:shd w:val="clear" w:color="auto" w:fill="FFFFFF"/>
          <w:lang w:eastAsia="en-GB"/>
        </w:rPr>
      </w:pPr>
    </w:p>
    <w:p w14:paraId="55982D80" w14:textId="4C1FAEF2" w:rsidR="00E9733D" w:rsidRPr="00A01561" w:rsidRDefault="00EB7063" w:rsidP="00A01561">
      <w:pPr>
        <w:spacing w:line="420" w:lineRule="auto"/>
        <w:rPr>
          <w:rFonts w:eastAsia="Times New Roman" w:cstheme="minorHAnsi"/>
          <w:color w:val="2C363A"/>
          <w:sz w:val="22"/>
          <w:szCs w:val="21"/>
          <w:shd w:val="clear" w:color="auto" w:fill="FFFFFF"/>
          <w:lang w:eastAsia="en-GB"/>
        </w:rPr>
      </w:pPr>
      <w:r w:rsidRPr="00A01561">
        <w:rPr>
          <w:rFonts w:eastAsia="Times New Roman" w:cstheme="minorHAnsi"/>
          <w:color w:val="2C363A"/>
          <w:sz w:val="22"/>
          <w:szCs w:val="21"/>
          <w:shd w:val="clear" w:color="auto" w:fill="FFFFFF"/>
          <w:lang w:eastAsia="en-GB"/>
        </w:rPr>
        <w:t>It has long been recognised that 'ring fencing' orthopaedic beds for planned care is the only acceptable standard for our patients.</w:t>
      </w:r>
      <w:r w:rsidR="00E9733D" w:rsidRPr="00A01561">
        <w:rPr>
          <w:rFonts w:eastAsia="Times New Roman" w:cstheme="minorHAnsi"/>
          <w:color w:val="2C363A"/>
          <w:sz w:val="22"/>
          <w:szCs w:val="21"/>
          <w:shd w:val="clear" w:color="auto" w:fill="FFFFFF"/>
          <w:lang w:eastAsia="en-GB"/>
        </w:rPr>
        <w:t xml:space="preserve"> The GIRFT report</w:t>
      </w:r>
      <w:r w:rsidR="00E9733D" w:rsidRPr="00A01561">
        <w:rPr>
          <w:rStyle w:val="FootnoteReference"/>
          <w:rFonts w:eastAsia="Times New Roman" w:cstheme="minorHAnsi"/>
          <w:color w:val="2C363A"/>
          <w:sz w:val="22"/>
          <w:szCs w:val="21"/>
          <w:shd w:val="clear" w:color="auto" w:fill="FFFFFF"/>
          <w:lang w:eastAsia="en-GB"/>
        </w:rPr>
        <w:footnoteReference w:id="1"/>
      </w:r>
      <w:r w:rsidR="00E9733D" w:rsidRPr="00A01561">
        <w:rPr>
          <w:rFonts w:eastAsia="Times New Roman" w:cstheme="minorHAnsi"/>
          <w:color w:val="2C363A"/>
          <w:sz w:val="22"/>
          <w:szCs w:val="21"/>
          <w:shd w:val="clear" w:color="auto" w:fill="FFFFFF"/>
          <w:lang w:eastAsia="en-GB"/>
        </w:rPr>
        <w:t xml:space="preserve"> published earlier this year discusses surgical site infection and notes that ‘it is likely that the maintenance of ring-fencing has contributed to the decreasing infection rates in the orthopaedics specialty.’ </w:t>
      </w:r>
    </w:p>
    <w:p w14:paraId="0804DCF7" w14:textId="4E380035" w:rsidR="00122320" w:rsidRPr="00A01561" w:rsidRDefault="00122320" w:rsidP="00A01561">
      <w:pPr>
        <w:spacing w:line="420" w:lineRule="auto"/>
        <w:rPr>
          <w:rFonts w:eastAsia="Times New Roman" w:cstheme="minorHAnsi"/>
          <w:color w:val="2C363A"/>
          <w:sz w:val="22"/>
          <w:szCs w:val="21"/>
          <w:shd w:val="clear" w:color="auto" w:fill="FFFFFF"/>
          <w:lang w:eastAsia="en-GB"/>
        </w:rPr>
      </w:pPr>
    </w:p>
    <w:p w14:paraId="2C316600" w14:textId="7BAE6B7F" w:rsidR="00EB7063" w:rsidRPr="00A01561" w:rsidRDefault="00EB7063" w:rsidP="00A01561">
      <w:pPr>
        <w:spacing w:line="420" w:lineRule="auto"/>
        <w:rPr>
          <w:rFonts w:eastAsia="Times New Roman" w:cstheme="minorHAnsi"/>
          <w:sz w:val="28"/>
          <w:lang w:eastAsia="en-GB"/>
        </w:rPr>
      </w:pPr>
      <w:r w:rsidRPr="00A01561">
        <w:rPr>
          <w:rFonts w:eastAsia="Times New Roman" w:cstheme="minorHAnsi"/>
          <w:color w:val="2C363A"/>
          <w:sz w:val="22"/>
          <w:szCs w:val="21"/>
          <w:shd w:val="clear" w:color="auto" w:fill="FFFFFF"/>
          <w:lang w:eastAsia="en-GB"/>
        </w:rPr>
        <w:t xml:space="preserve"> Sharing ward accommodation with </w:t>
      </w:r>
      <w:r w:rsidR="00246BED" w:rsidRPr="00A01561">
        <w:rPr>
          <w:rFonts w:eastAsia="Times New Roman" w:cstheme="minorHAnsi"/>
          <w:color w:val="2C363A"/>
          <w:sz w:val="22"/>
          <w:szCs w:val="21"/>
          <w:shd w:val="clear" w:color="auto" w:fill="FFFFFF"/>
          <w:lang w:eastAsia="en-GB"/>
        </w:rPr>
        <w:t>other specialties where patients may have infection</w:t>
      </w:r>
      <w:r w:rsidR="00E9733D" w:rsidRPr="00A01561">
        <w:rPr>
          <w:rFonts w:eastAsia="Times New Roman" w:cstheme="minorHAnsi"/>
          <w:color w:val="2C363A"/>
          <w:sz w:val="22"/>
          <w:szCs w:val="21"/>
          <w:shd w:val="clear" w:color="auto" w:fill="FFFFFF"/>
          <w:lang w:eastAsia="en-GB"/>
        </w:rPr>
        <w:t>s</w:t>
      </w:r>
      <w:r w:rsidR="00246BED" w:rsidRPr="00A01561">
        <w:rPr>
          <w:rFonts w:eastAsia="Times New Roman" w:cstheme="minorHAnsi"/>
          <w:color w:val="2C363A"/>
          <w:sz w:val="22"/>
          <w:szCs w:val="21"/>
          <w:shd w:val="clear" w:color="auto" w:fill="FFFFFF"/>
          <w:lang w:eastAsia="en-GB"/>
        </w:rPr>
        <w:t xml:space="preserve"> or be carrying potentially infecting </w:t>
      </w:r>
      <w:proofErr w:type="gramStart"/>
      <w:r w:rsidR="00246BED" w:rsidRPr="00A01561">
        <w:rPr>
          <w:rFonts w:eastAsia="Times New Roman" w:cstheme="minorHAnsi"/>
          <w:color w:val="2C363A"/>
          <w:sz w:val="22"/>
          <w:szCs w:val="21"/>
          <w:shd w:val="clear" w:color="auto" w:fill="FFFFFF"/>
          <w:lang w:eastAsia="en-GB"/>
        </w:rPr>
        <w:t>organisms</w:t>
      </w:r>
      <w:proofErr w:type="gramEnd"/>
      <w:r w:rsidR="00246BED" w:rsidRPr="00A01561">
        <w:rPr>
          <w:rFonts w:eastAsia="Times New Roman" w:cstheme="minorHAnsi"/>
          <w:color w:val="2C363A"/>
          <w:sz w:val="22"/>
          <w:szCs w:val="21"/>
          <w:shd w:val="clear" w:color="auto" w:fill="FFFFFF"/>
          <w:lang w:eastAsia="en-GB"/>
        </w:rPr>
        <w:t xml:space="preserve"> </w:t>
      </w:r>
      <w:r w:rsidRPr="00A01561">
        <w:rPr>
          <w:rFonts w:eastAsia="Times New Roman" w:cstheme="minorHAnsi"/>
          <w:color w:val="2C363A"/>
          <w:sz w:val="22"/>
          <w:szCs w:val="21"/>
          <w:shd w:val="clear" w:color="auto" w:fill="FFFFFF"/>
          <w:lang w:eastAsia="en-GB"/>
        </w:rPr>
        <w:t xml:space="preserve">runs a high risk of transfer between patients </w:t>
      </w:r>
      <w:r w:rsidR="00246BED" w:rsidRPr="00A01561">
        <w:rPr>
          <w:rFonts w:eastAsia="Times New Roman" w:cstheme="minorHAnsi"/>
          <w:color w:val="2C363A"/>
          <w:sz w:val="22"/>
          <w:szCs w:val="21"/>
          <w:shd w:val="clear" w:color="auto" w:fill="FFFFFF"/>
          <w:lang w:eastAsia="en-GB"/>
        </w:rPr>
        <w:t>and exposing them to the risk of active infection</w:t>
      </w:r>
      <w:r w:rsidR="00E9733D" w:rsidRPr="00A01561">
        <w:rPr>
          <w:rFonts w:eastAsia="Times New Roman" w:cstheme="minorHAnsi"/>
          <w:color w:val="2C363A"/>
          <w:sz w:val="22"/>
          <w:szCs w:val="21"/>
          <w:shd w:val="clear" w:color="auto" w:fill="FFFFFF"/>
          <w:lang w:eastAsia="en-GB"/>
        </w:rPr>
        <w:t>. The consequences of infection for orthopaedic patients</w:t>
      </w:r>
      <w:r w:rsidR="00246BED" w:rsidRPr="00A01561">
        <w:rPr>
          <w:rFonts w:eastAsia="Times New Roman" w:cstheme="minorHAnsi"/>
          <w:color w:val="2C363A"/>
          <w:sz w:val="22"/>
          <w:szCs w:val="21"/>
          <w:shd w:val="clear" w:color="auto" w:fill="FFFFFF"/>
          <w:lang w:eastAsia="en-GB"/>
        </w:rPr>
        <w:t xml:space="preserve"> </w:t>
      </w:r>
      <w:r w:rsidR="00E9733D" w:rsidRPr="00A01561">
        <w:rPr>
          <w:rFonts w:eastAsia="Times New Roman" w:cstheme="minorHAnsi"/>
          <w:color w:val="2C363A"/>
          <w:sz w:val="22"/>
          <w:szCs w:val="21"/>
          <w:shd w:val="clear" w:color="auto" w:fill="FFFFFF"/>
          <w:lang w:eastAsia="en-GB"/>
        </w:rPr>
        <w:t xml:space="preserve">are </w:t>
      </w:r>
      <w:r w:rsidR="00246BED" w:rsidRPr="00A01561">
        <w:rPr>
          <w:rFonts w:eastAsia="Times New Roman" w:cstheme="minorHAnsi"/>
          <w:color w:val="2C363A"/>
          <w:sz w:val="22"/>
          <w:szCs w:val="21"/>
          <w:shd w:val="clear" w:color="auto" w:fill="FFFFFF"/>
          <w:lang w:eastAsia="en-GB"/>
        </w:rPr>
        <w:t>serious.</w:t>
      </w:r>
      <w:r w:rsidRPr="00A01561">
        <w:rPr>
          <w:rFonts w:eastAsia="Times New Roman" w:cstheme="minorHAnsi"/>
          <w:color w:val="2C363A"/>
          <w:sz w:val="22"/>
          <w:szCs w:val="21"/>
          <w:shd w:val="clear" w:color="auto" w:fill="FFFFFF"/>
          <w:lang w:eastAsia="en-GB"/>
        </w:rPr>
        <w:t xml:space="preserve">  It is the express recommendation from</w:t>
      </w:r>
      <w:bookmarkStart w:id="0" w:name="_GoBack"/>
      <w:bookmarkEnd w:id="0"/>
      <w:r w:rsidRPr="00A01561">
        <w:rPr>
          <w:rFonts w:eastAsia="Times New Roman" w:cstheme="minorHAnsi"/>
          <w:color w:val="2C363A"/>
          <w:sz w:val="22"/>
          <w:szCs w:val="21"/>
          <w:shd w:val="clear" w:color="auto" w:fill="FFFFFF"/>
          <w:lang w:eastAsia="en-GB"/>
        </w:rPr>
        <w:t xml:space="preserve"> GIRFT (given the overwhelming evidence to support this separation of patients into specialty cohorts) that we corral and protect </w:t>
      </w:r>
      <w:r w:rsidR="00034343" w:rsidRPr="00A01561">
        <w:rPr>
          <w:rFonts w:eastAsia="Times New Roman" w:cstheme="minorHAnsi"/>
          <w:color w:val="2C363A"/>
          <w:sz w:val="22"/>
          <w:szCs w:val="21"/>
          <w:shd w:val="clear" w:color="auto" w:fill="FFFFFF"/>
          <w:lang w:eastAsia="en-GB"/>
        </w:rPr>
        <w:t xml:space="preserve">our </w:t>
      </w:r>
      <w:r w:rsidRPr="00A01561">
        <w:rPr>
          <w:rFonts w:eastAsia="Times New Roman" w:cstheme="minorHAnsi"/>
          <w:color w:val="2C363A"/>
          <w:sz w:val="22"/>
          <w:szCs w:val="21"/>
          <w:shd w:val="clear" w:color="auto" w:fill="FFFFFF"/>
          <w:lang w:eastAsia="en-GB"/>
        </w:rPr>
        <w:t>patients</w:t>
      </w:r>
      <w:r w:rsidR="00034343" w:rsidRPr="00A01561">
        <w:rPr>
          <w:rFonts w:eastAsia="Times New Roman" w:cstheme="minorHAnsi"/>
          <w:color w:val="2C363A"/>
          <w:sz w:val="22"/>
          <w:szCs w:val="21"/>
          <w:shd w:val="clear" w:color="auto" w:fill="FFFFFF"/>
          <w:lang w:eastAsia="en-GB"/>
        </w:rPr>
        <w:t>.</w:t>
      </w:r>
      <w:r w:rsidR="00122320" w:rsidRPr="00A01561">
        <w:rPr>
          <w:rFonts w:eastAsia="Times New Roman" w:cstheme="minorHAnsi"/>
          <w:color w:val="2C363A"/>
          <w:sz w:val="22"/>
          <w:szCs w:val="21"/>
          <w:shd w:val="clear" w:color="auto" w:fill="FFFFFF"/>
          <w:lang w:eastAsia="en-GB"/>
        </w:rPr>
        <w:t xml:space="preserve"> This particularly applies where any form of implant is to be inserted.  </w:t>
      </w:r>
    </w:p>
    <w:p w14:paraId="7E22DBFF" w14:textId="77777777" w:rsidR="00EB7063" w:rsidRPr="00A01561" w:rsidRDefault="00EB7063" w:rsidP="00A01561">
      <w:pPr>
        <w:spacing w:line="420" w:lineRule="auto"/>
        <w:rPr>
          <w:rFonts w:eastAsia="Times New Roman" w:cstheme="minorHAnsi"/>
          <w:color w:val="2C363A"/>
          <w:sz w:val="22"/>
          <w:szCs w:val="21"/>
          <w:lang w:eastAsia="en-GB"/>
        </w:rPr>
      </w:pPr>
    </w:p>
    <w:p w14:paraId="1A5EC937" w14:textId="355A72BE" w:rsidR="00EB7063" w:rsidRPr="00A01561" w:rsidRDefault="00034343" w:rsidP="00A01561">
      <w:pPr>
        <w:spacing w:line="420" w:lineRule="auto"/>
        <w:rPr>
          <w:rFonts w:eastAsia="Times New Roman" w:cstheme="minorHAnsi"/>
          <w:color w:val="2C363A"/>
          <w:sz w:val="22"/>
          <w:szCs w:val="21"/>
          <w:lang w:eastAsia="en-GB"/>
        </w:rPr>
      </w:pPr>
      <w:r w:rsidRPr="00A01561">
        <w:rPr>
          <w:rFonts w:eastAsia="Times New Roman" w:cstheme="minorHAnsi"/>
          <w:color w:val="2C363A"/>
          <w:sz w:val="22"/>
          <w:szCs w:val="21"/>
          <w:lang w:eastAsia="en-GB"/>
        </w:rPr>
        <w:t>We are aware there is</w:t>
      </w:r>
      <w:r w:rsidR="00EB7063" w:rsidRPr="00A01561">
        <w:rPr>
          <w:rFonts w:eastAsia="Times New Roman" w:cstheme="minorHAnsi"/>
          <w:color w:val="2C363A"/>
          <w:sz w:val="22"/>
          <w:szCs w:val="21"/>
          <w:lang w:eastAsia="en-GB"/>
        </w:rPr>
        <w:t xml:space="preserve"> a disturbing trend that the provision of </w:t>
      </w:r>
      <w:r w:rsidR="00ED165E" w:rsidRPr="00A01561">
        <w:rPr>
          <w:rFonts w:eastAsia="Times New Roman" w:cstheme="minorHAnsi"/>
          <w:color w:val="2C363A"/>
          <w:sz w:val="22"/>
          <w:szCs w:val="21"/>
          <w:lang w:eastAsia="en-GB"/>
        </w:rPr>
        <w:t>‘</w:t>
      </w:r>
      <w:r w:rsidRPr="00A01561">
        <w:rPr>
          <w:rFonts w:eastAsia="Times New Roman" w:cstheme="minorHAnsi"/>
          <w:color w:val="2C363A"/>
          <w:sz w:val="22"/>
          <w:szCs w:val="21"/>
          <w:lang w:eastAsia="en-GB"/>
        </w:rPr>
        <w:t>COVID</w:t>
      </w:r>
      <w:r w:rsidR="00B32AA4" w:rsidRPr="00A01561">
        <w:rPr>
          <w:rFonts w:eastAsia="Times New Roman" w:cstheme="minorHAnsi"/>
          <w:color w:val="2C363A"/>
          <w:sz w:val="22"/>
          <w:szCs w:val="21"/>
          <w:lang w:eastAsia="en-GB"/>
        </w:rPr>
        <w:t>-free</w:t>
      </w:r>
      <w:r w:rsidR="00EB7063" w:rsidRPr="00A01561">
        <w:rPr>
          <w:rFonts w:eastAsia="Times New Roman" w:cstheme="minorHAnsi"/>
          <w:color w:val="2C363A"/>
          <w:sz w:val="22"/>
          <w:szCs w:val="21"/>
          <w:lang w:eastAsia="en-GB"/>
        </w:rPr>
        <w:t xml:space="preserve">' </w:t>
      </w:r>
      <w:r w:rsidR="00B32AA4" w:rsidRPr="00A01561">
        <w:rPr>
          <w:rFonts w:eastAsia="Times New Roman" w:cstheme="minorHAnsi"/>
          <w:color w:val="2C363A"/>
          <w:sz w:val="22"/>
          <w:szCs w:val="21"/>
          <w:lang w:eastAsia="en-GB"/>
        </w:rPr>
        <w:t xml:space="preserve">pathways and </w:t>
      </w:r>
      <w:r w:rsidR="00EB7063" w:rsidRPr="00A01561">
        <w:rPr>
          <w:rFonts w:eastAsia="Times New Roman" w:cstheme="minorHAnsi"/>
          <w:color w:val="2C363A"/>
          <w:sz w:val="22"/>
          <w:szCs w:val="21"/>
          <w:lang w:eastAsia="en-GB"/>
        </w:rPr>
        <w:t xml:space="preserve">areas </w:t>
      </w:r>
      <w:r w:rsidRPr="00A01561">
        <w:rPr>
          <w:rFonts w:eastAsia="Times New Roman" w:cstheme="minorHAnsi"/>
          <w:color w:val="2C363A"/>
          <w:sz w:val="22"/>
          <w:szCs w:val="21"/>
          <w:lang w:eastAsia="en-GB"/>
        </w:rPr>
        <w:t>is considered</w:t>
      </w:r>
      <w:r w:rsidR="00EB7063" w:rsidRPr="00A01561">
        <w:rPr>
          <w:rFonts w:eastAsia="Times New Roman" w:cstheme="minorHAnsi"/>
          <w:color w:val="2C363A"/>
          <w:sz w:val="22"/>
          <w:szCs w:val="21"/>
          <w:lang w:eastAsia="en-GB"/>
        </w:rPr>
        <w:t xml:space="preserve"> to supersede </w:t>
      </w:r>
      <w:r w:rsidR="006D3577" w:rsidRPr="00A01561">
        <w:rPr>
          <w:rFonts w:eastAsia="Times New Roman" w:cstheme="minorHAnsi"/>
          <w:color w:val="2C363A"/>
          <w:sz w:val="22"/>
          <w:szCs w:val="21"/>
          <w:lang w:eastAsia="en-GB"/>
        </w:rPr>
        <w:t>ring-fencing of orthopaedics</w:t>
      </w:r>
      <w:r w:rsidR="00EB7063" w:rsidRPr="00A01561">
        <w:rPr>
          <w:rFonts w:eastAsia="Times New Roman" w:cstheme="minorHAnsi"/>
          <w:color w:val="2C363A"/>
          <w:sz w:val="22"/>
          <w:szCs w:val="21"/>
          <w:lang w:eastAsia="en-GB"/>
        </w:rPr>
        <w:t xml:space="preserve">. The inference is that providing </w:t>
      </w:r>
      <w:r w:rsidR="00ED165E" w:rsidRPr="00A01561">
        <w:rPr>
          <w:rFonts w:eastAsia="Times New Roman" w:cstheme="minorHAnsi"/>
          <w:color w:val="2C363A"/>
          <w:sz w:val="22"/>
          <w:szCs w:val="21"/>
          <w:lang w:eastAsia="en-GB"/>
        </w:rPr>
        <w:t>‘</w:t>
      </w:r>
      <w:r w:rsidR="00EB7063" w:rsidRPr="00A01561">
        <w:rPr>
          <w:rFonts w:eastAsia="Times New Roman" w:cstheme="minorHAnsi"/>
          <w:color w:val="2C363A"/>
          <w:sz w:val="22"/>
          <w:szCs w:val="21"/>
          <w:lang w:eastAsia="en-GB"/>
        </w:rPr>
        <w:t>C</w:t>
      </w:r>
      <w:r w:rsidRPr="00A01561">
        <w:rPr>
          <w:rFonts w:eastAsia="Times New Roman" w:cstheme="minorHAnsi"/>
          <w:color w:val="2C363A"/>
          <w:sz w:val="22"/>
          <w:szCs w:val="21"/>
          <w:lang w:eastAsia="en-GB"/>
        </w:rPr>
        <w:t>OVID</w:t>
      </w:r>
      <w:r w:rsidR="00ED165E" w:rsidRPr="00A01561">
        <w:rPr>
          <w:rFonts w:eastAsia="Times New Roman" w:cstheme="minorHAnsi"/>
          <w:color w:val="2C363A"/>
          <w:sz w:val="22"/>
          <w:szCs w:val="21"/>
          <w:lang w:eastAsia="en-GB"/>
        </w:rPr>
        <w:t>-</w:t>
      </w:r>
      <w:r w:rsidR="00EB7063" w:rsidRPr="00A01561">
        <w:rPr>
          <w:rFonts w:eastAsia="Times New Roman" w:cstheme="minorHAnsi"/>
          <w:color w:val="2C363A"/>
          <w:sz w:val="22"/>
          <w:szCs w:val="21"/>
          <w:lang w:eastAsia="en-GB"/>
        </w:rPr>
        <w:t>secure</w:t>
      </w:r>
      <w:r w:rsidR="00ED165E" w:rsidRPr="00A01561">
        <w:rPr>
          <w:rFonts w:eastAsia="Times New Roman" w:cstheme="minorHAnsi"/>
          <w:color w:val="2C363A"/>
          <w:sz w:val="22"/>
          <w:szCs w:val="21"/>
          <w:lang w:eastAsia="en-GB"/>
        </w:rPr>
        <w:t>’</w:t>
      </w:r>
      <w:r w:rsidR="00EB7063" w:rsidRPr="00A01561">
        <w:rPr>
          <w:rFonts w:eastAsia="Times New Roman" w:cstheme="minorHAnsi"/>
          <w:color w:val="2C363A"/>
          <w:sz w:val="22"/>
          <w:szCs w:val="21"/>
          <w:lang w:eastAsia="en-GB"/>
        </w:rPr>
        <w:t xml:space="preserve"> ward space for multiple patient groups is of </w:t>
      </w:r>
      <w:r w:rsidR="00B32AA4" w:rsidRPr="00A01561">
        <w:rPr>
          <w:rFonts w:eastAsia="Times New Roman" w:cstheme="minorHAnsi"/>
          <w:color w:val="2C363A"/>
          <w:sz w:val="22"/>
          <w:szCs w:val="21"/>
          <w:lang w:eastAsia="en-GB"/>
        </w:rPr>
        <w:t>greater</w:t>
      </w:r>
      <w:r w:rsidR="00EB7063" w:rsidRPr="00A01561">
        <w:rPr>
          <w:rFonts w:eastAsia="Times New Roman" w:cstheme="minorHAnsi"/>
          <w:color w:val="2C363A"/>
          <w:sz w:val="22"/>
          <w:szCs w:val="21"/>
          <w:lang w:eastAsia="en-GB"/>
        </w:rPr>
        <w:t xml:space="preserve"> importance than segregation of the </w:t>
      </w:r>
      <w:r w:rsidR="006D3577" w:rsidRPr="00A01561">
        <w:rPr>
          <w:rFonts w:eastAsia="Times New Roman" w:cstheme="minorHAnsi"/>
          <w:color w:val="2C363A"/>
          <w:sz w:val="22"/>
          <w:szCs w:val="21"/>
          <w:lang w:eastAsia="en-GB"/>
        </w:rPr>
        <w:t xml:space="preserve">orthopaedic </w:t>
      </w:r>
      <w:r w:rsidR="00EB7063" w:rsidRPr="00A01561">
        <w:rPr>
          <w:rFonts w:eastAsia="Times New Roman" w:cstheme="minorHAnsi"/>
          <w:color w:val="2C363A"/>
          <w:sz w:val="22"/>
          <w:szCs w:val="21"/>
          <w:lang w:eastAsia="en-GB"/>
        </w:rPr>
        <w:t xml:space="preserve">patient groups.  This is categorically NOT the </w:t>
      </w:r>
      <w:r w:rsidRPr="00A01561">
        <w:rPr>
          <w:rFonts w:eastAsia="Times New Roman" w:cstheme="minorHAnsi"/>
          <w:color w:val="2C363A"/>
          <w:sz w:val="22"/>
          <w:szCs w:val="21"/>
          <w:lang w:eastAsia="en-GB"/>
        </w:rPr>
        <w:t>position</w:t>
      </w:r>
      <w:r w:rsidR="00EB7063" w:rsidRPr="00A01561">
        <w:rPr>
          <w:rFonts w:eastAsia="Times New Roman" w:cstheme="minorHAnsi"/>
          <w:color w:val="2C363A"/>
          <w:sz w:val="22"/>
          <w:szCs w:val="21"/>
          <w:lang w:eastAsia="en-GB"/>
        </w:rPr>
        <w:t xml:space="preserve"> of the BOA or GIRFT. These are two separate issues that should not be conflated. BOTH are important; keeping our patients as C</w:t>
      </w:r>
      <w:r w:rsidR="00B32AA4" w:rsidRPr="00A01561">
        <w:rPr>
          <w:rFonts w:eastAsia="Times New Roman" w:cstheme="minorHAnsi"/>
          <w:color w:val="2C363A"/>
          <w:sz w:val="22"/>
          <w:szCs w:val="21"/>
          <w:lang w:eastAsia="en-GB"/>
        </w:rPr>
        <w:t>OVID</w:t>
      </w:r>
      <w:r w:rsidR="00EB7063" w:rsidRPr="00A01561">
        <w:rPr>
          <w:rFonts w:eastAsia="Times New Roman" w:cstheme="minorHAnsi"/>
          <w:color w:val="2C363A"/>
          <w:sz w:val="22"/>
          <w:szCs w:val="21"/>
          <w:lang w:eastAsia="en-GB"/>
        </w:rPr>
        <w:t xml:space="preserve"> secure as possible is clearly of paramount importance, but not at the expense of mixing patients </w:t>
      </w:r>
      <w:r w:rsidRPr="00A01561">
        <w:rPr>
          <w:rFonts w:eastAsia="Times New Roman" w:cstheme="minorHAnsi"/>
          <w:color w:val="2C363A"/>
          <w:sz w:val="22"/>
          <w:szCs w:val="21"/>
          <w:lang w:eastAsia="en-GB"/>
        </w:rPr>
        <w:t xml:space="preserve">from </w:t>
      </w:r>
      <w:r w:rsidR="00EB7063" w:rsidRPr="00A01561">
        <w:rPr>
          <w:rFonts w:eastAsia="Times New Roman" w:cstheme="minorHAnsi"/>
          <w:color w:val="2C363A"/>
          <w:sz w:val="22"/>
          <w:szCs w:val="21"/>
          <w:lang w:eastAsia="en-GB"/>
        </w:rPr>
        <w:t>different specialties in the same ward space.</w:t>
      </w:r>
    </w:p>
    <w:p w14:paraId="4159F4F5" w14:textId="77777777" w:rsidR="00EB7063" w:rsidRPr="00A01561" w:rsidRDefault="00EB7063" w:rsidP="00A01561">
      <w:pPr>
        <w:spacing w:line="420" w:lineRule="auto"/>
        <w:rPr>
          <w:rFonts w:eastAsia="Times New Roman" w:cstheme="minorHAnsi"/>
          <w:color w:val="2C363A"/>
          <w:sz w:val="22"/>
          <w:szCs w:val="21"/>
          <w:lang w:eastAsia="en-GB"/>
        </w:rPr>
      </w:pPr>
    </w:p>
    <w:p w14:paraId="45A4BB29" w14:textId="096AA79A" w:rsidR="004E4036" w:rsidRPr="00A01561" w:rsidRDefault="00ED165E" w:rsidP="00A01561">
      <w:pPr>
        <w:spacing w:line="420" w:lineRule="auto"/>
        <w:rPr>
          <w:rFonts w:cstheme="minorHAnsi"/>
          <w:sz w:val="28"/>
        </w:rPr>
      </w:pPr>
      <w:r w:rsidRPr="00A01561">
        <w:rPr>
          <w:rFonts w:eastAsia="Times New Roman" w:cstheme="minorHAnsi"/>
          <w:color w:val="2C363A"/>
          <w:sz w:val="22"/>
          <w:szCs w:val="21"/>
          <w:lang w:eastAsia="en-GB"/>
        </w:rPr>
        <w:t xml:space="preserve">We recognise that providing both ‘COVID-secure’ ward space for elective patients and ring-fencing orthopaedics within this, </w:t>
      </w:r>
      <w:r w:rsidR="00EB7063" w:rsidRPr="00A01561">
        <w:rPr>
          <w:rFonts w:eastAsia="Times New Roman" w:cstheme="minorHAnsi"/>
          <w:color w:val="2C363A"/>
          <w:sz w:val="22"/>
          <w:szCs w:val="21"/>
          <w:lang w:eastAsia="en-GB"/>
        </w:rPr>
        <w:t xml:space="preserve">will put further strain on our </w:t>
      </w:r>
      <w:r w:rsidR="00A01561" w:rsidRPr="00A01561">
        <w:rPr>
          <w:rFonts w:eastAsia="Times New Roman" w:cstheme="minorHAnsi"/>
          <w:color w:val="2C363A"/>
          <w:sz w:val="22"/>
          <w:szCs w:val="21"/>
          <w:lang w:eastAsia="en-GB"/>
        </w:rPr>
        <w:t xml:space="preserve">bed resource approaching winter </w:t>
      </w:r>
      <w:r w:rsidR="00EB7063" w:rsidRPr="00A01561">
        <w:rPr>
          <w:rFonts w:eastAsia="Times New Roman" w:cstheme="minorHAnsi"/>
          <w:color w:val="2C363A"/>
          <w:sz w:val="22"/>
          <w:szCs w:val="21"/>
          <w:lang w:eastAsia="en-GB"/>
        </w:rPr>
        <w:t>and a second C</w:t>
      </w:r>
      <w:r w:rsidR="00034343" w:rsidRPr="00A01561">
        <w:rPr>
          <w:rFonts w:eastAsia="Times New Roman" w:cstheme="minorHAnsi"/>
          <w:color w:val="2C363A"/>
          <w:sz w:val="22"/>
          <w:szCs w:val="21"/>
          <w:lang w:eastAsia="en-GB"/>
        </w:rPr>
        <w:t>OVID</w:t>
      </w:r>
      <w:r w:rsidR="00EB7063" w:rsidRPr="00A01561">
        <w:rPr>
          <w:rFonts w:eastAsia="Times New Roman" w:cstheme="minorHAnsi"/>
          <w:color w:val="2C363A"/>
          <w:sz w:val="22"/>
          <w:szCs w:val="21"/>
          <w:lang w:eastAsia="en-GB"/>
        </w:rPr>
        <w:t xml:space="preserve"> wave</w:t>
      </w:r>
      <w:r w:rsidRPr="00A01561">
        <w:rPr>
          <w:rFonts w:eastAsia="Times New Roman" w:cstheme="minorHAnsi"/>
          <w:color w:val="2C363A"/>
          <w:sz w:val="22"/>
          <w:szCs w:val="21"/>
          <w:lang w:eastAsia="en-GB"/>
        </w:rPr>
        <w:t>. However</w:t>
      </w:r>
      <w:r w:rsidR="00EB7063" w:rsidRPr="00A01561">
        <w:rPr>
          <w:rFonts w:eastAsia="Times New Roman" w:cstheme="minorHAnsi"/>
          <w:color w:val="2C363A"/>
          <w:sz w:val="22"/>
          <w:szCs w:val="21"/>
          <w:lang w:eastAsia="en-GB"/>
        </w:rPr>
        <w:t>, we need to provide both C</w:t>
      </w:r>
      <w:r w:rsidR="00034343" w:rsidRPr="00A01561">
        <w:rPr>
          <w:rFonts w:eastAsia="Times New Roman" w:cstheme="minorHAnsi"/>
          <w:color w:val="2C363A"/>
          <w:sz w:val="22"/>
          <w:szCs w:val="21"/>
          <w:lang w:eastAsia="en-GB"/>
        </w:rPr>
        <w:t>OVID</w:t>
      </w:r>
      <w:r w:rsidR="00EB7063" w:rsidRPr="00A01561">
        <w:rPr>
          <w:rFonts w:eastAsia="Times New Roman" w:cstheme="minorHAnsi"/>
          <w:color w:val="2C363A"/>
          <w:sz w:val="22"/>
          <w:szCs w:val="21"/>
          <w:lang w:eastAsia="en-GB"/>
        </w:rPr>
        <w:t xml:space="preserve"> free pathways and </w:t>
      </w:r>
      <w:r w:rsidR="00B32AA4" w:rsidRPr="00A01561">
        <w:rPr>
          <w:rFonts w:eastAsia="Times New Roman" w:cstheme="minorHAnsi"/>
          <w:color w:val="2C363A"/>
          <w:sz w:val="22"/>
          <w:szCs w:val="21"/>
          <w:lang w:eastAsia="en-GB"/>
        </w:rPr>
        <w:t>orthopaedic ‘ring fenced</w:t>
      </w:r>
      <w:r w:rsidR="00EB7063" w:rsidRPr="00A01561">
        <w:rPr>
          <w:rFonts w:eastAsia="Times New Roman" w:cstheme="minorHAnsi"/>
          <w:color w:val="2C363A"/>
          <w:sz w:val="22"/>
          <w:szCs w:val="21"/>
          <w:lang w:eastAsia="en-GB"/>
        </w:rPr>
        <w:t xml:space="preserve">' </w:t>
      </w:r>
      <w:r w:rsidR="00B32AA4" w:rsidRPr="00A01561">
        <w:rPr>
          <w:rFonts w:eastAsia="Times New Roman" w:cstheme="minorHAnsi"/>
          <w:color w:val="2C363A"/>
          <w:sz w:val="22"/>
          <w:szCs w:val="21"/>
          <w:lang w:eastAsia="en-GB"/>
        </w:rPr>
        <w:t>ward space</w:t>
      </w:r>
      <w:r w:rsidR="00EB7063" w:rsidRPr="00A01561">
        <w:rPr>
          <w:rFonts w:eastAsia="Times New Roman" w:cstheme="minorHAnsi"/>
          <w:color w:val="2C363A"/>
          <w:sz w:val="22"/>
          <w:szCs w:val="21"/>
          <w:lang w:eastAsia="en-GB"/>
        </w:rPr>
        <w:t xml:space="preserve"> </w:t>
      </w:r>
      <w:r w:rsidRPr="00A01561">
        <w:rPr>
          <w:rFonts w:eastAsia="Times New Roman" w:cstheme="minorHAnsi"/>
          <w:color w:val="2C363A"/>
          <w:sz w:val="22"/>
          <w:szCs w:val="21"/>
          <w:lang w:eastAsia="en-GB"/>
        </w:rPr>
        <w:t xml:space="preserve">in order to promote high standards of </w:t>
      </w:r>
      <w:r w:rsidR="00EB7063" w:rsidRPr="00A01561">
        <w:rPr>
          <w:rFonts w:eastAsia="Times New Roman" w:cstheme="minorHAnsi"/>
          <w:color w:val="2C363A"/>
          <w:sz w:val="22"/>
          <w:szCs w:val="21"/>
          <w:lang w:eastAsia="en-GB"/>
        </w:rPr>
        <w:t>patient</w:t>
      </w:r>
      <w:r w:rsidRPr="00A01561">
        <w:rPr>
          <w:rFonts w:eastAsia="Times New Roman" w:cstheme="minorHAnsi"/>
          <w:color w:val="2C363A"/>
          <w:sz w:val="22"/>
          <w:szCs w:val="21"/>
          <w:lang w:eastAsia="en-GB"/>
        </w:rPr>
        <w:t xml:space="preserve"> safety</w:t>
      </w:r>
      <w:r w:rsidR="00EB7063" w:rsidRPr="00A01561">
        <w:rPr>
          <w:rFonts w:eastAsia="Times New Roman" w:cstheme="minorHAnsi"/>
          <w:color w:val="2C363A"/>
          <w:sz w:val="22"/>
          <w:szCs w:val="21"/>
          <w:lang w:eastAsia="en-GB"/>
        </w:rPr>
        <w:t>.</w:t>
      </w:r>
    </w:p>
    <w:sectPr w:rsidR="004E4036" w:rsidRPr="00A01561" w:rsidSect="00A01561">
      <w:headerReference w:type="default" r:id="rId6"/>
      <w:pgSz w:w="11900" w:h="16840"/>
      <w:pgMar w:top="1701" w:right="1440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DD245" w14:textId="77777777" w:rsidR="00135D4A" w:rsidRDefault="00135D4A" w:rsidP="00E9733D">
      <w:r>
        <w:separator/>
      </w:r>
    </w:p>
  </w:endnote>
  <w:endnote w:type="continuationSeparator" w:id="0">
    <w:p w14:paraId="4956813F" w14:textId="77777777" w:rsidR="00135D4A" w:rsidRDefault="00135D4A" w:rsidP="00E97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89426" w14:textId="77777777" w:rsidR="00135D4A" w:rsidRDefault="00135D4A" w:rsidP="00E9733D">
      <w:r>
        <w:separator/>
      </w:r>
    </w:p>
  </w:footnote>
  <w:footnote w:type="continuationSeparator" w:id="0">
    <w:p w14:paraId="7BD3D2C9" w14:textId="77777777" w:rsidR="00135D4A" w:rsidRDefault="00135D4A" w:rsidP="00E9733D">
      <w:r>
        <w:continuationSeparator/>
      </w:r>
    </w:p>
  </w:footnote>
  <w:footnote w:id="1">
    <w:p w14:paraId="273DE655" w14:textId="3E11E355" w:rsidR="00E9733D" w:rsidRDefault="00E9733D">
      <w:pPr>
        <w:pStyle w:val="FootnoteText"/>
      </w:pPr>
      <w:r>
        <w:rPr>
          <w:rStyle w:val="FootnoteReference"/>
        </w:rPr>
        <w:footnoteRef/>
      </w:r>
      <w:r>
        <w:t xml:space="preserve"> GIRFT (2020) Getting it right in Orthopaedics: </w:t>
      </w:r>
      <w:r w:rsidRPr="00E9733D">
        <w:t>A follow-up on the GIRFT national specialty report on orthopaedics</w:t>
      </w:r>
      <w:r>
        <w:t xml:space="preserve">, available online at: </w:t>
      </w:r>
      <w:hyperlink r:id="rId1" w:history="1">
        <w:r w:rsidRPr="007C53EF">
          <w:rPr>
            <w:rStyle w:val="Hyperlink"/>
          </w:rPr>
          <w:t>https://gettingitrightfirsttime.co.uk/wp-content/uploads/2020/02/GIRFT-orthopaedics-follow-up-report-February-2020.pdf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71BA2" w14:textId="0D584D07" w:rsidR="0061311D" w:rsidRDefault="0061311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F945710" wp14:editId="5C6C5A0D">
          <wp:simplePos x="0" y="0"/>
          <wp:positionH relativeFrom="margin">
            <wp:align>right</wp:align>
          </wp:positionH>
          <wp:positionV relativeFrom="paragraph">
            <wp:posOffset>-571500</wp:posOffset>
          </wp:positionV>
          <wp:extent cx="1819275" cy="1078865"/>
          <wp:effectExtent l="0" t="0" r="0" b="6985"/>
          <wp:wrapNone/>
          <wp:docPr id="2" name="Picture 2" descr="C:\Users\Edward Nickell\AppData\Local\Microsoft\Windows\INetCache\Content.Word\B_top banner 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Edward Nickell\AppData\Local\Microsoft\Windows\INetCache\Content.Word\B_top banner 4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" t="-1" r="73174" b="1"/>
                  <a:stretch/>
                </pic:blipFill>
                <pic:spPr bwMode="auto">
                  <a:xfrm>
                    <a:off x="0" y="0"/>
                    <a:ext cx="1819301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25886BC2" wp14:editId="0F8FAC49">
          <wp:simplePos x="0" y="0"/>
          <wp:positionH relativeFrom="margin">
            <wp:align>left</wp:align>
          </wp:positionH>
          <wp:positionV relativeFrom="paragraph">
            <wp:posOffset>-266700</wp:posOffset>
          </wp:positionV>
          <wp:extent cx="1703876" cy="790575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A-letterhead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4" r="72082"/>
                  <a:stretch/>
                </pic:blipFill>
                <pic:spPr bwMode="auto">
                  <a:xfrm>
                    <a:off x="0" y="0"/>
                    <a:ext cx="1703876" cy="790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063"/>
    <w:rsid w:val="00034343"/>
    <w:rsid w:val="00122320"/>
    <w:rsid w:val="00135D4A"/>
    <w:rsid w:val="00246BED"/>
    <w:rsid w:val="0046659A"/>
    <w:rsid w:val="005942C3"/>
    <w:rsid w:val="0061311D"/>
    <w:rsid w:val="006244F1"/>
    <w:rsid w:val="006D3577"/>
    <w:rsid w:val="007D2423"/>
    <w:rsid w:val="008B32CE"/>
    <w:rsid w:val="00A01561"/>
    <w:rsid w:val="00B32AA4"/>
    <w:rsid w:val="00BB2EDA"/>
    <w:rsid w:val="00D36044"/>
    <w:rsid w:val="00E9733D"/>
    <w:rsid w:val="00EB7063"/>
    <w:rsid w:val="00ED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CD1B1C"/>
  <w14:defaultImageDpi w14:val="32767"/>
  <w15:chartTrackingRefBased/>
  <w15:docId w15:val="{4DE6FDA4-D0C3-4A4D-A441-CE9EF1D9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973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3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3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3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33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3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33D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733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733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733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9733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31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311D"/>
  </w:style>
  <w:style w:type="paragraph" w:styleId="Footer">
    <w:name w:val="footer"/>
    <w:basedOn w:val="Normal"/>
    <w:link w:val="FooterChar"/>
    <w:uiPriority w:val="99"/>
    <w:unhideWhenUsed/>
    <w:rsid w:val="006131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3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3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gettingitrightfirsttime.co.uk/wp-content/uploads/2020/02/GIRFT-orthopaedics-follow-up-report-February-2020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Turner</dc:creator>
  <cp:keywords/>
  <dc:description/>
  <cp:lastModifiedBy>Harriet Wollaston</cp:lastModifiedBy>
  <cp:revision>2</cp:revision>
  <dcterms:created xsi:type="dcterms:W3CDTF">2020-10-19T08:15:00Z</dcterms:created>
  <dcterms:modified xsi:type="dcterms:W3CDTF">2020-10-19T08:15:00Z</dcterms:modified>
</cp:coreProperties>
</file>